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E5" w:rsidRPr="000F63DC" w:rsidRDefault="00331959" w:rsidP="000F63DC">
      <w:pPr>
        <w:jc w:val="both"/>
        <w:rPr>
          <w:b/>
          <w:sz w:val="28"/>
        </w:rPr>
      </w:pPr>
      <w:r w:rsidRPr="000F63DC">
        <w:rPr>
          <w:b/>
          <w:sz w:val="28"/>
        </w:rPr>
        <w:t xml:space="preserve">Mısır’ın Üretici Kayıt Sistemi </w:t>
      </w:r>
      <w:proofErr w:type="spellStart"/>
      <w:r w:rsidRPr="000F63DC">
        <w:rPr>
          <w:b/>
          <w:sz w:val="28"/>
        </w:rPr>
        <w:t>Uygulaması’</w:t>
      </w:r>
      <w:r w:rsidR="000F63DC">
        <w:rPr>
          <w:b/>
          <w:sz w:val="28"/>
        </w:rPr>
        <w:t>na</w:t>
      </w:r>
      <w:proofErr w:type="spellEnd"/>
      <w:r w:rsidR="000F63DC">
        <w:rPr>
          <w:b/>
          <w:sz w:val="28"/>
        </w:rPr>
        <w:t xml:space="preserve"> İlişkin </w:t>
      </w:r>
      <w:r w:rsidRPr="000F63DC">
        <w:rPr>
          <w:b/>
          <w:sz w:val="28"/>
        </w:rPr>
        <w:t>43/2016 Sayılı Kararnamesi Hakkında</w:t>
      </w:r>
      <w:r w:rsidR="000F63DC">
        <w:rPr>
          <w:b/>
          <w:sz w:val="28"/>
        </w:rPr>
        <w:t xml:space="preserve"> </w:t>
      </w:r>
      <w:r w:rsidR="000F63DC" w:rsidRPr="000F63DC">
        <w:rPr>
          <w:b/>
          <w:sz w:val="28"/>
        </w:rPr>
        <w:t>Mısır Ankara Büyükelçiliği’nin Cevapları</w:t>
      </w:r>
    </w:p>
    <w:p w:rsidR="000D4382" w:rsidRPr="000D4382" w:rsidRDefault="000D4382" w:rsidP="000F63DC">
      <w:pPr>
        <w:jc w:val="both"/>
        <w:rPr>
          <w:b/>
          <w:sz w:val="32"/>
        </w:rPr>
      </w:pPr>
    </w:p>
    <w:p w:rsidR="00331959" w:rsidRPr="000F63DC" w:rsidRDefault="000D4382" w:rsidP="000F63DC">
      <w:pPr>
        <w:pStyle w:val="ListParagraph"/>
        <w:numPr>
          <w:ilvl w:val="0"/>
          <w:numId w:val="1"/>
        </w:numPr>
        <w:jc w:val="both"/>
        <w:rPr>
          <w:b/>
        </w:rPr>
      </w:pPr>
      <w:r w:rsidRPr="000F63DC">
        <w:rPr>
          <w:b/>
        </w:rPr>
        <w:t>Mıs</w:t>
      </w:r>
      <w:r w:rsidR="00331959" w:rsidRPr="000F63DC">
        <w:rPr>
          <w:b/>
        </w:rPr>
        <w:t>ır Ticaret ve Sanayi Bakanlığı tarafından yayımlanan 43/2016 Sayılı Kararname’de Belirtilen Evrakların Türkiye’deki Muadilleri Nelerdir?</w:t>
      </w:r>
    </w:p>
    <w:p w:rsidR="00C54857" w:rsidRPr="000F63DC" w:rsidRDefault="00C54857" w:rsidP="000F63DC">
      <w:pPr>
        <w:ind w:firstLine="360"/>
        <w:jc w:val="both"/>
        <w:rPr>
          <w:b/>
          <w:i/>
          <w:u w:val="single"/>
        </w:rPr>
      </w:pPr>
      <w:r w:rsidRPr="000F63DC">
        <w:rPr>
          <w:b/>
          <w:i/>
          <w:u w:val="single"/>
        </w:rPr>
        <w:t>Cevap:</w:t>
      </w:r>
    </w:p>
    <w:p w:rsidR="00C54857" w:rsidRDefault="00C54857" w:rsidP="000F63DC">
      <w:pPr>
        <w:pStyle w:val="ListParagraph"/>
        <w:numPr>
          <w:ilvl w:val="0"/>
          <w:numId w:val="2"/>
        </w:numPr>
        <w:jc w:val="both"/>
      </w:pPr>
      <w:r>
        <w:t>Bu dokümanların ne Türkiye’de ne de Mısır’da muadilleri bulunmamaktadır.</w:t>
      </w:r>
    </w:p>
    <w:p w:rsidR="00C54857" w:rsidRDefault="00C54857" w:rsidP="000F63DC">
      <w:pPr>
        <w:pStyle w:val="ListParagraph"/>
        <w:numPr>
          <w:ilvl w:val="0"/>
          <w:numId w:val="2"/>
        </w:numPr>
        <w:jc w:val="both"/>
      </w:pPr>
      <w:r>
        <w:t>Bunlar, özellikle bu konuya ilişkin, özel olarak tasarlanmış dokümanlardır.</w:t>
      </w:r>
    </w:p>
    <w:p w:rsidR="00C54857" w:rsidRDefault="00C54857" w:rsidP="000F63DC">
      <w:pPr>
        <w:pStyle w:val="ListParagraph"/>
        <w:numPr>
          <w:ilvl w:val="0"/>
          <w:numId w:val="2"/>
        </w:numPr>
        <w:jc w:val="both"/>
      </w:pPr>
      <w:r>
        <w:t>Mevzuyu kolaylaştırmak ve berraklığa kavuşturmak adına gerekli dokümanların bir örneği ekte yer almakt</w:t>
      </w:r>
      <w:r w:rsidR="00785E5C">
        <w:t>adır.</w:t>
      </w:r>
    </w:p>
    <w:p w:rsidR="00785E5C" w:rsidRDefault="00785E5C" w:rsidP="000F63DC">
      <w:pPr>
        <w:ind w:left="360"/>
        <w:jc w:val="both"/>
      </w:pPr>
    </w:p>
    <w:p w:rsidR="00C54857" w:rsidRPr="000F63DC" w:rsidRDefault="00785E5C" w:rsidP="000F63DC">
      <w:pPr>
        <w:pStyle w:val="ListParagraph"/>
        <w:numPr>
          <w:ilvl w:val="0"/>
          <w:numId w:val="1"/>
        </w:numPr>
        <w:jc w:val="both"/>
        <w:rPr>
          <w:b/>
        </w:rPr>
      </w:pPr>
      <w:r w:rsidRPr="000F63DC">
        <w:rPr>
          <w:b/>
        </w:rPr>
        <w:t>Mısır Büyükelçiliği veya Konsolosluğu’ndaki Onaylama Sürecinde, firmaların Ticari Sicil Gazetesi’ndeki sicil kayıtları istenmekte, fakat söz konusu Kararname’de yer alan gerekli evraklar arasında bu belge yer almamakta. Kararname’de yer almadığı halde istenen başka evraklar var mıdır? Ticari Sicil Gazetesi kayıtları neden istenmektedir?</w:t>
      </w:r>
    </w:p>
    <w:p w:rsidR="00785E5C" w:rsidRPr="000F63DC" w:rsidRDefault="00785E5C" w:rsidP="000F63DC">
      <w:pPr>
        <w:ind w:left="360"/>
        <w:jc w:val="both"/>
        <w:rPr>
          <w:b/>
          <w:i/>
          <w:u w:val="single"/>
        </w:rPr>
      </w:pPr>
      <w:r w:rsidRPr="000F63DC">
        <w:rPr>
          <w:b/>
          <w:i/>
          <w:u w:val="single"/>
        </w:rPr>
        <w:t>Cevap:</w:t>
      </w:r>
    </w:p>
    <w:p w:rsidR="00785E5C" w:rsidRDefault="00785E5C" w:rsidP="000F63DC">
      <w:pPr>
        <w:pStyle w:val="ListParagraph"/>
        <w:numPr>
          <w:ilvl w:val="0"/>
          <w:numId w:val="2"/>
        </w:numPr>
        <w:jc w:val="both"/>
      </w:pPr>
      <w:r>
        <w:t>Sadece Kararname’de yer alan evraklar istenmekte, ticari sicil bilgisi istenmemektedir.</w:t>
      </w:r>
    </w:p>
    <w:p w:rsidR="00785E5C" w:rsidRDefault="00785E5C" w:rsidP="000F63DC">
      <w:pPr>
        <w:jc w:val="both"/>
      </w:pPr>
    </w:p>
    <w:p w:rsidR="00785E5C" w:rsidRPr="000F63DC" w:rsidRDefault="00785E5C" w:rsidP="000F63DC">
      <w:pPr>
        <w:pStyle w:val="ListParagraph"/>
        <w:numPr>
          <w:ilvl w:val="0"/>
          <w:numId w:val="1"/>
        </w:numPr>
        <w:jc w:val="both"/>
        <w:rPr>
          <w:b/>
        </w:rPr>
      </w:pPr>
      <w:r w:rsidRPr="000F63DC">
        <w:rPr>
          <w:b/>
        </w:rPr>
        <w:t>Mısır’ın İstanbul’daki Başkonsolosluk veya Ankara’daki Büyükelçiliği ta</w:t>
      </w:r>
      <w:r w:rsidR="007E7E3A" w:rsidRPr="000F63DC">
        <w:rPr>
          <w:b/>
        </w:rPr>
        <w:t>rafından uygunluk verilecek/onaylanacak evrakların hangi dilde ibraz edilmesi gerekiyor?</w:t>
      </w:r>
    </w:p>
    <w:p w:rsidR="007E7E3A" w:rsidRPr="000F63DC" w:rsidRDefault="007E7E3A" w:rsidP="000F63DC">
      <w:pPr>
        <w:ind w:left="360"/>
        <w:jc w:val="both"/>
        <w:rPr>
          <w:b/>
          <w:i/>
          <w:u w:val="single"/>
        </w:rPr>
      </w:pPr>
      <w:r w:rsidRPr="000F63DC">
        <w:rPr>
          <w:b/>
          <w:i/>
          <w:u w:val="single"/>
        </w:rPr>
        <w:t>Cevap:</w:t>
      </w:r>
    </w:p>
    <w:p w:rsidR="007E7E3A" w:rsidRDefault="007E7E3A" w:rsidP="000F63DC">
      <w:pPr>
        <w:pStyle w:val="ListParagraph"/>
        <w:numPr>
          <w:ilvl w:val="0"/>
          <w:numId w:val="2"/>
        </w:numPr>
        <w:jc w:val="both"/>
      </w:pPr>
      <w:r>
        <w:t xml:space="preserve">Gerekli evrakların </w:t>
      </w:r>
      <w:proofErr w:type="spellStart"/>
      <w:r>
        <w:t>Arapça’ya</w:t>
      </w:r>
      <w:proofErr w:type="spellEnd"/>
      <w:r>
        <w:t xml:space="preserve"> tercüme edilmiş olması gerekmekte.</w:t>
      </w:r>
    </w:p>
    <w:p w:rsidR="007E7E3A" w:rsidRDefault="007E7E3A" w:rsidP="000F63DC">
      <w:pPr>
        <w:jc w:val="both"/>
      </w:pPr>
    </w:p>
    <w:p w:rsidR="000D55FC" w:rsidRPr="000F63DC" w:rsidRDefault="007E7E3A" w:rsidP="000F63DC">
      <w:pPr>
        <w:pStyle w:val="ListParagraph"/>
        <w:numPr>
          <w:ilvl w:val="0"/>
          <w:numId w:val="1"/>
        </w:numPr>
        <w:jc w:val="both"/>
        <w:rPr>
          <w:b/>
        </w:rPr>
      </w:pPr>
      <w:r w:rsidRPr="000F63DC">
        <w:rPr>
          <w:b/>
        </w:rPr>
        <w:t>Başkonsolosluk veya Büyükelçilik tarafından evrakların onaylanması/uygunluk verilmesinden önce, hangi Türk resmi makamlarının (Valilik, Sanayi ve Ticaret Odaları, Dışişleri Bakanlığı vb.)</w:t>
      </w:r>
      <w:r w:rsidR="000D55FC" w:rsidRPr="000F63DC">
        <w:rPr>
          <w:b/>
        </w:rPr>
        <w:t xml:space="preserve"> onay vermesi gerekmekte? Evrakların Başkonsolosluk veya </w:t>
      </w:r>
      <w:proofErr w:type="spellStart"/>
      <w:r w:rsidR="000D55FC" w:rsidRPr="000F63DC">
        <w:rPr>
          <w:b/>
        </w:rPr>
        <w:t>Büyükelçilik’e</w:t>
      </w:r>
      <w:proofErr w:type="spellEnd"/>
      <w:r w:rsidR="000D55FC" w:rsidRPr="000F63DC">
        <w:rPr>
          <w:b/>
        </w:rPr>
        <w:t xml:space="preserve"> ibraz edilmesinden önceki </w:t>
      </w:r>
      <w:proofErr w:type="gramStart"/>
      <w:r w:rsidR="000D55FC" w:rsidRPr="000F63DC">
        <w:rPr>
          <w:b/>
        </w:rPr>
        <w:t>prosedür</w:t>
      </w:r>
      <w:proofErr w:type="gramEnd"/>
      <w:r w:rsidR="000D55FC" w:rsidRPr="000F63DC">
        <w:rPr>
          <w:b/>
        </w:rPr>
        <w:t xml:space="preserve"> nedir?</w:t>
      </w:r>
    </w:p>
    <w:p w:rsidR="000D55FC" w:rsidRPr="000F63DC" w:rsidRDefault="000D55FC" w:rsidP="000F63DC">
      <w:pPr>
        <w:ind w:left="360"/>
        <w:jc w:val="both"/>
        <w:rPr>
          <w:b/>
          <w:i/>
          <w:u w:val="single"/>
        </w:rPr>
      </w:pPr>
      <w:r w:rsidRPr="000F63DC">
        <w:rPr>
          <w:b/>
          <w:i/>
          <w:u w:val="single"/>
        </w:rPr>
        <w:t>Cevap:</w:t>
      </w:r>
    </w:p>
    <w:p w:rsidR="000D55FC" w:rsidRDefault="000D55FC" w:rsidP="000F63DC">
      <w:pPr>
        <w:pStyle w:val="ListParagraph"/>
        <w:numPr>
          <w:ilvl w:val="0"/>
          <w:numId w:val="2"/>
        </w:numPr>
        <w:jc w:val="both"/>
      </w:pPr>
      <w:r>
        <w:t>Hangi Türk resmi makamlarının evrakları tasdik etmesi gerektiği bilgisinin Büyükelçilik tarafından saptanması gerekiyor.</w:t>
      </w:r>
    </w:p>
    <w:p w:rsidR="000D55FC" w:rsidRDefault="000D55FC" w:rsidP="000F63DC">
      <w:pPr>
        <w:pStyle w:val="ListParagraph"/>
        <w:numPr>
          <w:ilvl w:val="0"/>
          <w:numId w:val="2"/>
        </w:numPr>
        <w:jc w:val="both"/>
      </w:pPr>
      <w:r>
        <w:t xml:space="preserve">Tescil </w:t>
      </w:r>
      <w:proofErr w:type="gramStart"/>
      <w:r>
        <w:t>prosedürleri</w:t>
      </w:r>
      <w:proofErr w:type="gramEnd"/>
      <w:r>
        <w:t xml:space="preserve"> aşağıdaki gibidir:</w:t>
      </w:r>
    </w:p>
    <w:p w:rsidR="000D55FC" w:rsidRDefault="000D55FC" w:rsidP="000F63DC">
      <w:pPr>
        <w:pStyle w:val="ListParagraph"/>
        <w:numPr>
          <w:ilvl w:val="0"/>
          <w:numId w:val="3"/>
        </w:numPr>
        <w:jc w:val="both"/>
      </w:pPr>
      <w:r>
        <w:t xml:space="preserve">Türk firmaları, gerekli tüm evrakları </w:t>
      </w:r>
      <w:proofErr w:type="spellStart"/>
      <w:r>
        <w:t>Arapça’ya</w:t>
      </w:r>
      <w:proofErr w:type="spellEnd"/>
      <w:r>
        <w:t xml:space="preserve"> tercüme ettikten sonra </w:t>
      </w:r>
      <w:hyperlink r:id="rId5" w:history="1">
        <w:r w:rsidRPr="00CB226B">
          <w:rPr>
            <w:rStyle w:val="Hyperlink"/>
          </w:rPr>
          <w:t>www.goeic.gov.eg</w:t>
        </w:r>
      </w:hyperlink>
      <w:r>
        <w:t xml:space="preserve"> adresine </w:t>
      </w:r>
      <w:proofErr w:type="spellStart"/>
      <w:r>
        <w:t>upload</w:t>
      </w:r>
      <w:proofErr w:type="spellEnd"/>
      <w:r>
        <w:t xml:space="preserve"> etmelidir.</w:t>
      </w:r>
    </w:p>
    <w:p w:rsidR="000D55FC" w:rsidRDefault="000D55FC" w:rsidP="000F63DC">
      <w:pPr>
        <w:pStyle w:val="ListParagraph"/>
        <w:numPr>
          <w:ilvl w:val="0"/>
          <w:numId w:val="3"/>
        </w:numPr>
        <w:jc w:val="both"/>
      </w:pPr>
      <w:r>
        <w:t>GOEIC evrakları inceleyecek ve evrakların kabul edilebilir olup olmadığı veya varsa değişiklik talepleri ile ilgili geri dönüş yapacaktır.</w:t>
      </w:r>
    </w:p>
    <w:p w:rsidR="000D55FC" w:rsidRDefault="000D55FC" w:rsidP="000F63DC">
      <w:pPr>
        <w:pStyle w:val="ListParagraph"/>
        <w:numPr>
          <w:ilvl w:val="0"/>
          <w:numId w:val="3"/>
        </w:numPr>
        <w:jc w:val="both"/>
      </w:pPr>
      <w:r>
        <w:t>Şirket evrakları onayı aldıktan sonra bunları Türk resmi makamlarına onaylatabilir ve teyit ettirebilir, ardından ise Mısır’ın Başkonsolosluk veya Büyükelçiliğine onaylatabilir.</w:t>
      </w:r>
    </w:p>
    <w:p w:rsidR="000D55FC" w:rsidRDefault="000D55FC" w:rsidP="000F63DC">
      <w:pPr>
        <w:pStyle w:val="ListParagraph"/>
        <w:numPr>
          <w:ilvl w:val="0"/>
          <w:numId w:val="3"/>
        </w:numPr>
        <w:jc w:val="both"/>
      </w:pPr>
      <w:r>
        <w:lastRenderedPageBreak/>
        <w:t>Tüm onay süreçleri tamamlanan evraklar, şirketin yasal temsilcisi veya yetkili kişisi veya GOEIC kayıt ofislerine bağlı çalışan herhangi bir ajans/mümessil tarafından ibraz edilmeli ve bir kayıt formu doldurulmalıdır.</w:t>
      </w:r>
    </w:p>
    <w:p w:rsidR="000D55FC" w:rsidRDefault="000D55FC" w:rsidP="000F63DC">
      <w:pPr>
        <w:pStyle w:val="ListParagraph"/>
        <w:numPr>
          <w:ilvl w:val="0"/>
          <w:numId w:val="3"/>
        </w:numPr>
        <w:jc w:val="both"/>
      </w:pPr>
      <w:r>
        <w:t>GOEIC dokümanları inceleyecek ve kayıt onayını</w:t>
      </w:r>
      <w:r w:rsidR="000D4382">
        <w:t xml:space="preserve"> mümkün olan en kısa sürede tebliğ edecektir.</w:t>
      </w:r>
    </w:p>
    <w:p w:rsidR="000F63DC" w:rsidRDefault="000F63DC" w:rsidP="000F63DC">
      <w:pPr>
        <w:ind w:left="720"/>
        <w:jc w:val="both"/>
      </w:pPr>
    </w:p>
    <w:p w:rsidR="000D4382" w:rsidRPr="000F63DC" w:rsidRDefault="000D4382" w:rsidP="000F63DC">
      <w:pPr>
        <w:pStyle w:val="ListParagraph"/>
        <w:numPr>
          <w:ilvl w:val="0"/>
          <w:numId w:val="1"/>
        </w:numPr>
        <w:jc w:val="both"/>
        <w:rPr>
          <w:b/>
        </w:rPr>
      </w:pPr>
      <w:r w:rsidRPr="000F63DC">
        <w:rPr>
          <w:b/>
        </w:rPr>
        <w:t>Başkonsolosluk veya Büyükelçilik tarafından onaylanmış bir tercüme büroları listesi bulunmakta mıdır? Birbiriyle uyumlu başka herhangi bir liste bulunmakta mıdır? Örneğin İstanbul’da yapılmış bir tercüme, Ankara tarafından kabul edilecek midir?</w:t>
      </w:r>
    </w:p>
    <w:p w:rsidR="000D4382" w:rsidRPr="000F63DC" w:rsidRDefault="000D4382" w:rsidP="000F63DC">
      <w:pPr>
        <w:ind w:left="360"/>
        <w:jc w:val="both"/>
        <w:rPr>
          <w:b/>
          <w:i/>
          <w:u w:val="single"/>
        </w:rPr>
      </w:pPr>
      <w:r w:rsidRPr="000F63DC">
        <w:rPr>
          <w:b/>
          <w:i/>
          <w:u w:val="single"/>
        </w:rPr>
        <w:t>Cevap:</w:t>
      </w:r>
    </w:p>
    <w:p w:rsidR="000F63DC" w:rsidRDefault="000D4382" w:rsidP="000F63DC">
      <w:pPr>
        <w:pStyle w:val="ListParagraph"/>
        <w:numPr>
          <w:ilvl w:val="0"/>
          <w:numId w:val="2"/>
        </w:numPr>
        <w:jc w:val="both"/>
      </w:pPr>
      <w:r>
        <w:t>Akredite Tercüme Bürolarına Türk Kurumları (Noter, Ticaret Odası) tarafından karar verilmektedir.</w:t>
      </w:r>
    </w:p>
    <w:p w:rsidR="000F63DC" w:rsidRDefault="000F63DC" w:rsidP="000F63DC">
      <w:pPr>
        <w:pStyle w:val="ListParagraph"/>
        <w:jc w:val="both"/>
      </w:pPr>
    </w:p>
    <w:p w:rsidR="000D4382" w:rsidRPr="000F63DC" w:rsidRDefault="000D4382" w:rsidP="000F63DC">
      <w:pPr>
        <w:pStyle w:val="ListParagraph"/>
        <w:numPr>
          <w:ilvl w:val="0"/>
          <w:numId w:val="1"/>
        </w:numPr>
        <w:jc w:val="both"/>
        <w:rPr>
          <w:b/>
        </w:rPr>
      </w:pPr>
      <w:r w:rsidRPr="000F63DC">
        <w:rPr>
          <w:b/>
        </w:rPr>
        <w:t>Evrakların Başkonsolosluk/</w:t>
      </w:r>
      <w:proofErr w:type="spellStart"/>
      <w:r w:rsidRPr="000F63DC">
        <w:rPr>
          <w:b/>
        </w:rPr>
        <w:t>Büyükelçilik’e</w:t>
      </w:r>
      <w:proofErr w:type="spellEnd"/>
      <w:r w:rsidRPr="000F63DC">
        <w:rPr>
          <w:b/>
        </w:rPr>
        <w:t xml:space="preserve"> ibraz edilmesinden sonra, GOEIC sistemine kayıt edilmesine kadar olan süreç ne kadar sürmektedir?</w:t>
      </w:r>
    </w:p>
    <w:p w:rsidR="000D4382" w:rsidRPr="000F63DC" w:rsidRDefault="000D4382" w:rsidP="000F63DC">
      <w:pPr>
        <w:ind w:left="360"/>
        <w:jc w:val="both"/>
        <w:rPr>
          <w:b/>
          <w:i/>
          <w:u w:val="single"/>
        </w:rPr>
      </w:pPr>
      <w:r w:rsidRPr="000F63DC">
        <w:rPr>
          <w:b/>
          <w:i/>
          <w:u w:val="single"/>
        </w:rPr>
        <w:t>Cevap:</w:t>
      </w:r>
    </w:p>
    <w:p w:rsidR="000D4382" w:rsidRDefault="000D4382" w:rsidP="000F63DC">
      <w:pPr>
        <w:pStyle w:val="ListParagraph"/>
        <w:numPr>
          <w:ilvl w:val="0"/>
          <w:numId w:val="2"/>
        </w:numPr>
        <w:jc w:val="both"/>
      </w:pPr>
      <w:r>
        <w:t>Uygulamanın numarasına göre değişmektedir.</w:t>
      </w:r>
    </w:p>
    <w:p w:rsidR="000D4382" w:rsidRDefault="000D4382" w:rsidP="000F63DC">
      <w:pPr>
        <w:jc w:val="both"/>
      </w:pPr>
    </w:p>
    <w:p w:rsidR="000D4382" w:rsidRPr="000F63DC" w:rsidRDefault="000D4382" w:rsidP="000F63DC">
      <w:pPr>
        <w:pStyle w:val="ListParagraph"/>
        <w:numPr>
          <w:ilvl w:val="0"/>
          <w:numId w:val="1"/>
        </w:numPr>
        <w:jc w:val="both"/>
        <w:rPr>
          <w:b/>
        </w:rPr>
      </w:pPr>
      <w:r w:rsidRPr="000F63DC">
        <w:rPr>
          <w:b/>
        </w:rPr>
        <w:t>Bu uygulamadaki amaç sadece firma ve fabrikaları sisteme kayıt etmek midir, yoksa bu uygulamayı takip etmesi amaçlanan herhangi bir ilave uygulama olacak mıdır?</w:t>
      </w:r>
    </w:p>
    <w:p w:rsidR="000D4382" w:rsidRPr="000F63DC" w:rsidRDefault="000D4382" w:rsidP="000F63DC">
      <w:pPr>
        <w:ind w:left="360"/>
        <w:jc w:val="both"/>
        <w:rPr>
          <w:b/>
          <w:i/>
          <w:u w:val="single"/>
        </w:rPr>
      </w:pPr>
      <w:r w:rsidRPr="000F63DC">
        <w:rPr>
          <w:b/>
          <w:i/>
          <w:u w:val="single"/>
        </w:rPr>
        <w:t>Cevap:</w:t>
      </w:r>
    </w:p>
    <w:p w:rsidR="000D4382" w:rsidRDefault="000D4382" w:rsidP="000F63DC">
      <w:pPr>
        <w:pStyle w:val="ListParagraph"/>
        <w:numPr>
          <w:ilvl w:val="0"/>
          <w:numId w:val="2"/>
        </w:numPr>
        <w:jc w:val="both"/>
      </w:pPr>
      <w:r>
        <w:t>Uygulamanın amacı sadece firma ve fabrikaları kayıt etmektir.</w:t>
      </w:r>
    </w:p>
    <w:p w:rsidR="000D4382" w:rsidRDefault="000D4382" w:rsidP="000F63DC">
      <w:pPr>
        <w:ind w:left="360"/>
        <w:jc w:val="both"/>
      </w:pPr>
    </w:p>
    <w:p w:rsidR="000D4382" w:rsidRPr="000F63DC" w:rsidRDefault="000D4382" w:rsidP="000F63DC">
      <w:pPr>
        <w:pStyle w:val="ListParagraph"/>
        <w:numPr>
          <w:ilvl w:val="0"/>
          <w:numId w:val="1"/>
        </w:numPr>
        <w:jc w:val="both"/>
        <w:rPr>
          <w:b/>
        </w:rPr>
      </w:pPr>
      <w:r w:rsidRPr="000F63DC">
        <w:rPr>
          <w:b/>
        </w:rPr>
        <w:t>Başkonsolosluk/</w:t>
      </w:r>
      <w:proofErr w:type="spellStart"/>
      <w:r w:rsidRPr="000F63DC">
        <w:rPr>
          <w:b/>
        </w:rPr>
        <w:t>Büyükelçilik’te</w:t>
      </w:r>
      <w:proofErr w:type="spellEnd"/>
      <w:r w:rsidRPr="000F63DC">
        <w:rPr>
          <w:b/>
        </w:rPr>
        <w:t xml:space="preserve"> bu kayıt süreci ile ilgili olarak </w:t>
      </w:r>
      <w:proofErr w:type="spellStart"/>
      <w:r w:rsidRPr="000F63DC">
        <w:rPr>
          <w:b/>
        </w:rPr>
        <w:t>kontakt</w:t>
      </w:r>
      <w:proofErr w:type="spellEnd"/>
      <w:r w:rsidRPr="000F63DC">
        <w:rPr>
          <w:b/>
        </w:rPr>
        <w:t xml:space="preserve"> kurulabilecek herhangi bir kişinin ismini paylaşabilir misiniz?</w:t>
      </w:r>
    </w:p>
    <w:p w:rsidR="000D4382" w:rsidRPr="000F63DC" w:rsidRDefault="000D4382" w:rsidP="000F63DC">
      <w:pPr>
        <w:ind w:left="360"/>
        <w:jc w:val="both"/>
        <w:rPr>
          <w:b/>
          <w:i/>
          <w:u w:val="single"/>
        </w:rPr>
      </w:pPr>
      <w:r w:rsidRPr="000F63DC">
        <w:rPr>
          <w:b/>
          <w:i/>
          <w:u w:val="single"/>
        </w:rPr>
        <w:t>Cevap:</w:t>
      </w:r>
    </w:p>
    <w:p w:rsidR="000D4382" w:rsidRDefault="000D4382" w:rsidP="000F63DC">
      <w:pPr>
        <w:pStyle w:val="ListParagraph"/>
        <w:numPr>
          <w:ilvl w:val="0"/>
          <w:numId w:val="2"/>
        </w:numPr>
        <w:jc w:val="both"/>
      </w:pPr>
      <w:r>
        <w:t xml:space="preserve">Tüm kayıt prosedürleri </w:t>
      </w:r>
      <w:proofErr w:type="spellStart"/>
      <w:r>
        <w:t>GOEIC’nin</w:t>
      </w:r>
      <w:proofErr w:type="spellEnd"/>
      <w:r>
        <w:t xml:space="preserve"> web sitesinden </w:t>
      </w:r>
      <w:proofErr w:type="gramStart"/>
      <w:r>
        <w:t>online</w:t>
      </w:r>
      <w:proofErr w:type="gramEnd"/>
      <w:r>
        <w:t xml:space="preserve"> olarak yapılmaktadır. </w:t>
      </w:r>
      <w:hyperlink r:id="rId6" w:history="1">
        <w:r w:rsidRPr="00CB226B">
          <w:rPr>
            <w:rStyle w:val="Hyperlink"/>
          </w:rPr>
          <w:t>www.goeic.gov.eg</w:t>
        </w:r>
      </w:hyperlink>
      <w:r>
        <w:t xml:space="preserve"> </w:t>
      </w:r>
      <w:bookmarkStart w:id="0" w:name="_GoBack"/>
      <w:bookmarkEnd w:id="0"/>
    </w:p>
    <w:sectPr w:rsidR="000D4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24134"/>
    <w:multiLevelType w:val="hybridMultilevel"/>
    <w:tmpl w:val="8DC0699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003D3E"/>
    <w:multiLevelType w:val="hybridMultilevel"/>
    <w:tmpl w:val="18389A46"/>
    <w:lvl w:ilvl="0" w:tplc="09D21E8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7D2D7300"/>
    <w:multiLevelType w:val="hybridMultilevel"/>
    <w:tmpl w:val="B5B0A040"/>
    <w:lvl w:ilvl="0" w:tplc="02ACD6FA">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59"/>
    <w:rsid w:val="0003622B"/>
    <w:rsid w:val="000D4382"/>
    <w:rsid w:val="000D55FC"/>
    <w:rsid w:val="000F63DC"/>
    <w:rsid w:val="001907E5"/>
    <w:rsid w:val="00331959"/>
    <w:rsid w:val="00785E5C"/>
    <w:rsid w:val="007E7E3A"/>
    <w:rsid w:val="00C548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E358C-16A9-4DB7-B7B1-E2B74389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959"/>
    <w:pPr>
      <w:ind w:left="720"/>
      <w:contextualSpacing/>
    </w:pPr>
  </w:style>
  <w:style w:type="character" w:styleId="Hyperlink">
    <w:name w:val="Hyperlink"/>
    <w:basedOn w:val="DefaultParagraphFont"/>
    <w:uiPriority w:val="99"/>
    <w:unhideWhenUsed/>
    <w:rsid w:val="000D55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eic.gov.eg" TargetMode="External"/><Relationship Id="rId5" Type="http://schemas.openxmlformats.org/officeDocument/2006/relationships/hyperlink" Target="http://www.goeic.gov.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 Demir</dc:creator>
  <cp:keywords/>
  <dc:description/>
  <cp:lastModifiedBy>Burc Demir</cp:lastModifiedBy>
  <cp:revision>1</cp:revision>
  <dcterms:created xsi:type="dcterms:W3CDTF">2016-03-31T12:01:00Z</dcterms:created>
  <dcterms:modified xsi:type="dcterms:W3CDTF">2016-04-01T09:20:00Z</dcterms:modified>
</cp:coreProperties>
</file>